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anjari" w:cs="Manjari" w:eastAsia="Manjari" w:hAnsi="Manjari"/>
          <w:b w:val="1"/>
          <w:sz w:val="42"/>
          <w:szCs w:val="42"/>
        </w:rPr>
      </w:pPr>
      <w:r w:rsidDel="00000000" w:rsidR="00000000" w:rsidRPr="00000000">
        <w:rPr>
          <w:rFonts w:ascii="Manjari" w:cs="Manjari" w:eastAsia="Manjari" w:hAnsi="Manjari"/>
          <w:b w:val="1"/>
          <w:sz w:val="42"/>
          <w:szCs w:val="42"/>
          <w:rtl w:val="0"/>
        </w:rPr>
        <w:t xml:space="preserve">Porcentajes de selección (Gr. 6) </w:t>
      </w:r>
    </w:p>
    <w:p w:rsidR="00000000" w:rsidDel="00000000" w:rsidP="00000000" w:rsidRDefault="00000000" w:rsidRPr="00000000" w14:paraId="00000002">
      <w:pPr>
        <w:rPr>
          <w:rFonts w:ascii="Manjari" w:cs="Manjari" w:eastAsia="Manjari" w:hAnsi="Manjari"/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Este juego ayuda a los estudiantes a conectar fracciones con porcentajes y desarrollar el pensamiento proporcional. Se puede jugar con 2-4 jugadores.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Manjari" w:cs="Manjari" w:eastAsia="Manjari" w:hAnsi="Manjari"/>
          <w:b w:val="1"/>
          <w:sz w:val="14"/>
          <w:szCs w:val="14"/>
        </w:rPr>
      </w:pP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Configuración: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El juego consiste en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10 rondas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: dos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2 cartas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3 cartas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4 cartas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5 cartas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, y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10 cartas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 rondas.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Manjari" w:cs="Manjari" w:eastAsia="Manjari" w:hAnsi="Manjari"/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Crea un marcador para realizar un seguimiento de los puntos.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Manjari" w:cs="Manjari" w:eastAsia="Manjari" w:hAnsi="Manjari"/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Cada jugador selecciona un palo (por ejemplo, diamantes, corazones, espadas o tréboles).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Manjari" w:cs="Manjari" w:eastAsia="Manjari" w:hAnsi="Manjari"/>
          <w:b w:val="1"/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Cómo jugar: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Jugador 1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 voltea las cartas del mazo una a la vez, asegurándose de que todas las cartas volteadas permanezcan visibles.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El jugador puede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elige parar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 volteando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2, 3, 4, 5 o 10 cartas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El objetivo es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maximizar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 el porcentaje de tu palo mientras minimizas el porcentaje de tu oponente.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Los puntos se asignan en función de la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porcentaje de cartas en la ronda que coinciden con el palo de cada jugador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Ejemplo: si el jugador 1 elige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diamantes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 y el jugador 2 eligió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copas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, y las dos primeras cartas volteadas eran un corazón y una espada, el jugador 2 ganaría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50 puntos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 (el 50% de las cartas son corazones), mientras que el jugador 1 gana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0 puntos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Si el jugador 1 continúa y lanza un diamante como tercera carta, ambos jugadores ahora tienen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1/3 (33%) del traje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, ganando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33 puntos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 cada.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Manjari" w:cs="Manjari" w:eastAsia="Manjari" w:hAnsi="Manjari"/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El jugador 1 debe decidir si detener o continuar lanzando para cambiar los porcentajes a su favor.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Cuando un jugador deja de voltear,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registro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 los valores de puntos para ellos y su oponente.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El juego termina después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10 rondas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, y el jugador con el </w:t>
      </w: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puntos totales más altos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 gana.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Manjari" w:cs="Manjari" w:eastAsia="Manjari" w:hAnsi="Manjari"/>
          <w:sz w:val="26"/>
          <w:szCs w:val="26"/>
        </w:rPr>
      </w:pPr>
      <w:r w:rsidDel="00000000" w:rsidR="00000000" w:rsidRPr="00000000">
        <w:rPr>
          <w:rFonts w:ascii="Manjari" w:cs="Manjari" w:eastAsia="Manjari" w:hAnsi="Manjari"/>
          <w:b w:val="1"/>
          <w:sz w:val="26"/>
          <w:szCs w:val="26"/>
          <w:rtl w:val="0"/>
        </w:rPr>
        <w:t xml:space="preserve">Materiales: </w:t>
      </w:r>
      <w:r w:rsidDel="00000000" w:rsidR="00000000" w:rsidRPr="00000000">
        <w:rPr>
          <w:rFonts w:ascii="Manjari" w:cs="Manjari" w:eastAsia="Manjari" w:hAnsi="Manjari"/>
          <w:sz w:val="26"/>
          <w:szCs w:val="26"/>
          <w:rtl w:val="0"/>
        </w:rPr>
        <w:t xml:space="preserve">Baraja de cartas, Tablero de puntuación</w:t>
      </w:r>
    </w:p>
    <w:p w:rsidR="00000000" w:rsidDel="00000000" w:rsidP="00000000" w:rsidRDefault="00000000" w:rsidRPr="00000000" w14:paraId="00000012">
      <w:pPr>
        <w:jc w:val="center"/>
        <w:rPr>
          <w:rFonts w:ascii="Comfortaa" w:cs="Comfortaa" w:eastAsia="Comfortaa" w:hAnsi="Comfortaa"/>
          <w:sz w:val="38"/>
          <w:szCs w:val="38"/>
        </w:rPr>
      </w:pPr>
      <w:r w:rsidDel="00000000" w:rsidR="00000000" w:rsidRPr="00000000">
        <w:rPr>
          <w:rFonts w:ascii="Comfortaa" w:cs="Comfortaa" w:eastAsia="Comfortaa" w:hAnsi="Comfortaa"/>
          <w:sz w:val="38"/>
          <w:szCs w:val="38"/>
          <w:rtl w:val="0"/>
        </w:rPr>
        <w:t xml:space="preserve">Juego de cartas de elección de porcentajes </w:t>
      </w:r>
    </w:p>
    <w:p w:rsidR="00000000" w:rsidDel="00000000" w:rsidP="00000000" w:rsidRDefault="00000000" w:rsidRPr="00000000" w14:paraId="00000013">
      <w:pPr>
        <w:jc w:val="center"/>
        <w:rPr>
          <w:rFonts w:ascii="Comfortaa" w:cs="Comfortaa" w:eastAsia="Comfortaa" w:hAnsi="Comfortaa"/>
          <w:sz w:val="38"/>
          <w:szCs w:val="38"/>
        </w:rPr>
      </w:pPr>
      <w:r w:rsidDel="00000000" w:rsidR="00000000" w:rsidRPr="00000000">
        <w:rPr>
          <w:rFonts w:ascii="Comfortaa" w:cs="Comfortaa" w:eastAsia="Comfortaa" w:hAnsi="Comfortaa"/>
          <w:sz w:val="38"/>
          <w:szCs w:val="38"/>
          <w:rtl w:val="0"/>
        </w:rPr>
        <w:t xml:space="preserve">Tablero de puntuación</w:t>
      </w:r>
    </w:p>
    <w:p w:rsidR="00000000" w:rsidDel="00000000" w:rsidP="00000000" w:rsidRDefault="00000000" w:rsidRPr="00000000" w14:paraId="00000014">
      <w:pPr>
        <w:jc w:val="center"/>
        <w:rPr>
          <w:rFonts w:ascii="Comfortaa" w:cs="Comfortaa" w:eastAsia="Comfortaa" w:hAnsi="Comfortaa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3660"/>
        <w:gridCol w:w="4005"/>
        <w:tblGridChange w:id="0">
          <w:tblGrid>
            <w:gridCol w:w="1695"/>
            <w:gridCol w:w="3660"/>
            <w:gridCol w:w="40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# de cartas en ronda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Jugador 1: 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Jugador 2: 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Total: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Manjari" w:cs="Manjari" w:eastAsia="Manjari" w:hAnsi="Manja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omfortaa" w:cs="Comfortaa" w:eastAsia="Comfortaa" w:hAnsi="Comfortaa"/>
          <w:sz w:val="38"/>
          <w:szCs w:val="38"/>
        </w:rPr>
      </w:pPr>
      <w:r w:rsidDel="00000000" w:rsidR="00000000" w:rsidRPr="00000000">
        <w:rPr>
          <w:rFonts w:ascii="Comfortaa" w:cs="Comfortaa" w:eastAsia="Comfortaa" w:hAnsi="Comfortaa"/>
          <w:sz w:val="38"/>
          <w:szCs w:val="38"/>
          <w:rtl w:val="0"/>
        </w:rPr>
        <w:t xml:space="preserve">Juego de cartas de elección de porcentajes </w:t>
      </w:r>
    </w:p>
    <w:p w:rsidR="00000000" w:rsidDel="00000000" w:rsidP="00000000" w:rsidRDefault="00000000" w:rsidRPr="00000000" w14:paraId="00000048">
      <w:pPr>
        <w:jc w:val="center"/>
        <w:rPr>
          <w:rFonts w:ascii="Comfortaa" w:cs="Comfortaa" w:eastAsia="Comfortaa" w:hAnsi="Comfortaa"/>
          <w:sz w:val="38"/>
          <w:szCs w:val="38"/>
        </w:rPr>
      </w:pPr>
      <w:r w:rsidDel="00000000" w:rsidR="00000000" w:rsidRPr="00000000">
        <w:rPr>
          <w:rFonts w:ascii="Comfortaa" w:cs="Comfortaa" w:eastAsia="Comfortaa" w:hAnsi="Comfortaa"/>
          <w:sz w:val="38"/>
          <w:szCs w:val="38"/>
          <w:rtl w:val="0"/>
        </w:rPr>
        <w:t xml:space="preserve">Tablero de puntuación</w:t>
      </w:r>
    </w:p>
    <w:p w:rsidR="00000000" w:rsidDel="00000000" w:rsidP="00000000" w:rsidRDefault="00000000" w:rsidRPr="00000000" w14:paraId="00000049">
      <w:pPr>
        <w:jc w:val="center"/>
        <w:rPr>
          <w:rFonts w:ascii="Comfortaa" w:cs="Comfortaa" w:eastAsia="Comfortaa" w:hAnsi="Comfortaa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2025"/>
        <w:gridCol w:w="1995"/>
        <w:gridCol w:w="1935"/>
        <w:gridCol w:w="1770"/>
        <w:tblGridChange w:id="0">
          <w:tblGrid>
            <w:gridCol w:w="1635"/>
            <w:gridCol w:w="2025"/>
            <w:gridCol w:w="1995"/>
            <w:gridCol w:w="1935"/>
            <w:gridCol w:w="17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# de cartas en ronda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Jugador 1: 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Jugador 2: 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Jugador 3: 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Jugador 4:_________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0"/>
                <w:szCs w:val="30"/>
                <w:rtl w:val="0"/>
              </w:rPr>
              <w:t xml:space="preserve">Total: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Manjari" w:cs="Manjari" w:eastAsia="Manjari" w:hAnsi="Manja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anjari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njari-regular.ttf"/><Relationship Id="rId2" Type="http://schemas.openxmlformats.org/officeDocument/2006/relationships/font" Target="fonts/Manjari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